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8051D" w14:textId="77777777" w:rsidR="00B94C45" w:rsidRDefault="00B94C45" w:rsidP="00B94C45">
      <w:pPr>
        <w:ind w:firstLine="0"/>
        <w:rPr>
          <w:b/>
          <w:bCs/>
        </w:rPr>
      </w:pPr>
    </w:p>
    <w:p w14:paraId="359A1B11" w14:textId="77777777" w:rsidR="00B94C45" w:rsidRDefault="00B94C45" w:rsidP="00C1015D">
      <w:pPr>
        <w:ind w:firstLine="0"/>
        <w:rPr>
          <w:b/>
          <w:bCs/>
        </w:rPr>
      </w:pPr>
    </w:p>
    <w:p w14:paraId="159A1C99" w14:textId="36FF1510" w:rsidR="00B94C45" w:rsidRDefault="00C1015D" w:rsidP="00B94C45">
      <w:pPr>
        <w:ind w:firstLine="0"/>
        <w:jc w:val="center"/>
        <w:rPr>
          <w:b/>
          <w:bCs/>
        </w:rPr>
      </w:pPr>
      <w:r>
        <w:rPr>
          <w:b/>
          <w:bCs/>
        </w:rPr>
        <w:t>Maintaining Stakeholders’ L</w:t>
      </w:r>
      <w:r w:rsidR="00B94C45">
        <w:rPr>
          <w:b/>
          <w:bCs/>
        </w:rPr>
        <w:t>oyalty</w:t>
      </w:r>
    </w:p>
    <w:p w14:paraId="5C42BDD0" w14:textId="0778C52F" w:rsidR="00B94C45" w:rsidRDefault="00B94C45" w:rsidP="00B94C45">
      <w:pPr>
        <w:ind w:firstLine="0"/>
        <w:jc w:val="center"/>
        <w:rPr>
          <w:b/>
          <w:bCs/>
        </w:rPr>
      </w:pPr>
    </w:p>
    <w:p w14:paraId="7BA79018" w14:textId="77777777" w:rsidR="00C1015D" w:rsidRDefault="00C1015D" w:rsidP="00B94C45">
      <w:pPr>
        <w:ind w:firstLine="0"/>
        <w:jc w:val="center"/>
      </w:pPr>
    </w:p>
    <w:p w14:paraId="664FDF67" w14:textId="77777777" w:rsidR="00C1015D" w:rsidRDefault="00C1015D" w:rsidP="00B94C45">
      <w:pPr>
        <w:ind w:firstLine="0"/>
        <w:jc w:val="center"/>
      </w:pPr>
    </w:p>
    <w:p w14:paraId="213A67D5" w14:textId="77777777" w:rsidR="00C1015D" w:rsidRDefault="00C1015D" w:rsidP="00B94C45">
      <w:pPr>
        <w:ind w:firstLine="0"/>
        <w:jc w:val="center"/>
      </w:pPr>
    </w:p>
    <w:p w14:paraId="58AE220E" w14:textId="77777777" w:rsidR="00C1015D" w:rsidRDefault="00C1015D" w:rsidP="00B94C45">
      <w:pPr>
        <w:ind w:firstLine="0"/>
        <w:jc w:val="center"/>
      </w:pPr>
    </w:p>
    <w:p w14:paraId="2B5D5E76" w14:textId="77777777" w:rsidR="00C1015D" w:rsidRDefault="00C1015D" w:rsidP="00B94C45">
      <w:pPr>
        <w:ind w:firstLine="0"/>
        <w:jc w:val="center"/>
      </w:pPr>
    </w:p>
    <w:p w14:paraId="37FD9382" w14:textId="77777777" w:rsidR="00C1015D" w:rsidRDefault="00C1015D" w:rsidP="00B94C45">
      <w:pPr>
        <w:ind w:firstLine="0"/>
        <w:jc w:val="center"/>
      </w:pPr>
    </w:p>
    <w:p w14:paraId="1A3133AE" w14:textId="77777777" w:rsidR="00C1015D" w:rsidRDefault="00C1015D" w:rsidP="00B94C45">
      <w:pPr>
        <w:ind w:firstLine="0"/>
        <w:jc w:val="center"/>
      </w:pPr>
    </w:p>
    <w:p w14:paraId="6C985387" w14:textId="77777777" w:rsidR="00C1015D" w:rsidRDefault="00C1015D" w:rsidP="00B94C45">
      <w:pPr>
        <w:ind w:firstLine="0"/>
        <w:jc w:val="center"/>
      </w:pPr>
    </w:p>
    <w:p w14:paraId="2AC96086" w14:textId="77777777" w:rsidR="00C1015D" w:rsidRDefault="00C1015D" w:rsidP="00B94C45">
      <w:pPr>
        <w:ind w:firstLine="0"/>
        <w:jc w:val="center"/>
      </w:pPr>
    </w:p>
    <w:p w14:paraId="1610B660" w14:textId="77777777" w:rsidR="00C1015D" w:rsidRDefault="00C1015D" w:rsidP="00B94C45">
      <w:pPr>
        <w:ind w:firstLine="0"/>
        <w:jc w:val="center"/>
      </w:pPr>
    </w:p>
    <w:p w14:paraId="3F314FC6" w14:textId="60E7C356" w:rsidR="00B94C45" w:rsidRDefault="00B94C45" w:rsidP="00B94C45">
      <w:pPr>
        <w:ind w:firstLine="0"/>
        <w:jc w:val="center"/>
      </w:pPr>
      <w:r>
        <w:t>Student’s name</w:t>
      </w:r>
    </w:p>
    <w:p w14:paraId="363D9A27" w14:textId="3BE4D1F4" w:rsidR="00B94C45" w:rsidRDefault="00B94C45" w:rsidP="00B94C45">
      <w:pPr>
        <w:ind w:firstLine="0"/>
        <w:jc w:val="center"/>
      </w:pPr>
      <w:r>
        <w:t>Course Name</w:t>
      </w:r>
    </w:p>
    <w:p w14:paraId="54575947" w14:textId="02E2F0D7" w:rsidR="00B94C45" w:rsidRDefault="00B94C45" w:rsidP="00B94C45">
      <w:pPr>
        <w:ind w:firstLine="0"/>
        <w:jc w:val="center"/>
      </w:pPr>
      <w:r>
        <w:t>Course Number</w:t>
      </w:r>
    </w:p>
    <w:p w14:paraId="573E0A92" w14:textId="55E2482C" w:rsidR="00B94C45" w:rsidRDefault="00B94C45" w:rsidP="00B94C45">
      <w:pPr>
        <w:ind w:firstLine="0"/>
        <w:jc w:val="center"/>
      </w:pPr>
      <w:r>
        <w:t>Instructor’s Name</w:t>
      </w:r>
    </w:p>
    <w:p w14:paraId="64F7A775" w14:textId="6297671D" w:rsidR="00B94C45" w:rsidRPr="00B94C45" w:rsidRDefault="00B94C45" w:rsidP="00B94C45">
      <w:pPr>
        <w:ind w:firstLine="0"/>
        <w:jc w:val="center"/>
      </w:pPr>
      <w:r>
        <w:t>Date Submitted</w:t>
      </w:r>
    </w:p>
    <w:p w14:paraId="68849E1B" w14:textId="087D28DC" w:rsidR="00B94C45" w:rsidRDefault="00B94C45" w:rsidP="00890C70">
      <w:pPr>
        <w:jc w:val="center"/>
        <w:rPr>
          <w:b/>
          <w:bCs/>
        </w:rPr>
      </w:pPr>
    </w:p>
    <w:p w14:paraId="44952BC1" w14:textId="77777777" w:rsidR="00B94C45" w:rsidRDefault="00B94C45" w:rsidP="00890C70">
      <w:pPr>
        <w:jc w:val="center"/>
        <w:rPr>
          <w:b/>
          <w:bCs/>
        </w:rPr>
      </w:pPr>
    </w:p>
    <w:p w14:paraId="6211046E" w14:textId="77777777" w:rsidR="00B94C45" w:rsidRDefault="00B94C45" w:rsidP="00890C70">
      <w:pPr>
        <w:jc w:val="center"/>
        <w:rPr>
          <w:b/>
          <w:bCs/>
        </w:rPr>
      </w:pPr>
    </w:p>
    <w:p w14:paraId="3AC0203A" w14:textId="77777777" w:rsidR="00B94C45" w:rsidRDefault="00B94C45" w:rsidP="00C1015D">
      <w:pPr>
        <w:ind w:firstLine="0"/>
        <w:rPr>
          <w:b/>
          <w:bCs/>
        </w:rPr>
      </w:pPr>
    </w:p>
    <w:p w14:paraId="5348D2DD" w14:textId="6A496488" w:rsidR="00B94C45" w:rsidRDefault="00B94C45" w:rsidP="00B94C45">
      <w:pPr>
        <w:pStyle w:val="NormalWeb"/>
        <w:spacing w:before="0" w:beforeAutospacing="0" w:after="0" w:afterAutospacing="0" w:line="480" w:lineRule="auto"/>
        <w:ind w:firstLine="720"/>
        <w:jc w:val="center"/>
        <w:rPr>
          <w:color w:val="0E101A"/>
        </w:rPr>
      </w:pPr>
      <w:r>
        <w:rPr>
          <w:rStyle w:val="Strong"/>
          <w:color w:val="0E101A"/>
        </w:rPr>
        <w:lastRenderedPageBreak/>
        <w:t>Ma</w:t>
      </w:r>
      <w:r w:rsidR="00C1015D">
        <w:rPr>
          <w:rStyle w:val="Strong"/>
          <w:color w:val="0E101A"/>
        </w:rPr>
        <w:t>intaining Stakeholders' Loyalty</w:t>
      </w:r>
    </w:p>
    <w:p w14:paraId="2BCE5143" w14:textId="77777777" w:rsidR="00B94C45" w:rsidRDefault="00B94C45" w:rsidP="00B94C45">
      <w:pPr>
        <w:pStyle w:val="NormalWeb"/>
        <w:spacing w:before="0" w:beforeAutospacing="0" w:after="0" w:afterAutospacing="0" w:line="480" w:lineRule="auto"/>
        <w:ind w:firstLine="720"/>
        <w:rPr>
          <w:color w:val="0E101A"/>
        </w:rPr>
      </w:pPr>
      <w:r>
        <w:rPr>
          <w:color w:val="0E101A"/>
        </w:rPr>
        <w:t>To sustain staff, patient, governmental, and political loyalty, every health care system should give a sense of organizational steadiness and outlook of the legislative landscape. It is important to orient both staff trust with public opinion. Political perspective is the foundation of healthcare policy, local, state, guidance, plus community support taking part in political agreements to balance the healthcare industry. The healthcare industry should provide the required advocacy and guidance for shareholders in the setting of federal and state councils as a voice of integrity, authority and reason.</w:t>
      </w:r>
    </w:p>
    <w:p w14:paraId="25103D2D" w14:textId="4E048E90" w:rsidR="00B94C45" w:rsidRDefault="00B94C45" w:rsidP="00B94C45">
      <w:pPr>
        <w:pStyle w:val="NormalWeb"/>
        <w:spacing w:before="0" w:beforeAutospacing="0" w:after="0" w:afterAutospacing="0" w:line="480" w:lineRule="auto"/>
        <w:ind w:firstLine="720"/>
        <w:rPr>
          <w:color w:val="0E101A"/>
        </w:rPr>
      </w:pPr>
      <w:r>
        <w:rPr>
          <w:color w:val="0E101A"/>
        </w:rPr>
        <w:t xml:space="preserve">The Affordable Care Act is an oasis in the U.S community health policy. The Act was made a law in March 2010 after the Health and Education Reconciliation Act promoted it. Health insurance is a major component of this Act. The insurance policy reduces the number of Americans who are not insured by more than half—the policy results in coverage of health insurance for approximately 94% of the population in America. The policy </w:t>
      </w:r>
      <w:r w:rsidR="00601EDB">
        <w:rPr>
          <w:color w:val="0E101A"/>
        </w:rPr>
        <w:t>decreases</w:t>
      </w:r>
      <w:r>
        <w:rPr>
          <w:color w:val="0E101A"/>
        </w:rPr>
        <w:t xml:space="preserve"> the number of uninsured pe</w:t>
      </w:r>
      <w:r w:rsidR="00601EDB">
        <w:rPr>
          <w:color w:val="0E101A"/>
        </w:rPr>
        <w:t>rsons</w:t>
      </w:r>
      <w:r>
        <w:rPr>
          <w:color w:val="0E101A"/>
        </w:rPr>
        <w:t xml:space="preserve"> by 31 million, which </w:t>
      </w:r>
      <w:r w:rsidR="00601EDB">
        <w:rPr>
          <w:color w:val="0E101A"/>
        </w:rPr>
        <w:t>raises</w:t>
      </w:r>
      <w:r>
        <w:rPr>
          <w:color w:val="0E101A"/>
        </w:rPr>
        <w:t xml:space="preserve"> Medicaid membership by up to 15 million beneficiaries. About 24 million persons will be expected to remain uncovered. This insurance policy has overcome an unmatched level of inspection.</w:t>
      </w:r>
    </w:p>
    <w:p w14:paraId="7B07A5E9" w14:textId="77777777" w:rsidR="00B94C45" w:rsidRDefault="00B94C45" w:rsidP="00B94C45">
      <w:pPr>
        <w:pStyle w:val="NormalWeb"/>
        <w:spacing w:before="0" w:beforeAutospacing="0" w:after="0" w:afterAutospacing="0" w:line="480" w:lineRule="auto"/>
        <w:ind w:firstLine="720"/>
        <w:rPr>
          <w:color w:val="0E101A"/>
        </w:rPr>
      </w:pPr>
      <w:proofErr w:type="gramStart"/>
      <w:r>
        <w:rPr>
          <w:color w:val="0E101A"/>
        </w:rPr>
        <w:t>Scott et al. (2019) state that the healthcare landscape keeps changing occasionally, and new risks and benefits come along with it.</w:t>
      </w:r>
      <w:proofErr w:type="gramEnd"/>
      <w:r>
        <w:rPr>
          <w:color w:val="0E101A"/>
        </w:rPr>
        <w:t xml:space="preserve"> This brings about new obstacles to the stakeholders. In order to have a balance with healthcare stakeholders, different mediations should be incorporated. It is required that the Affordable Care Act leads stakeholders to be accountable for refining and to understand the system. Stakeholders should reassess the methods they use to balance risks and benefits as more guidance is being dispensed. The ACA is a result of politics </w:t>
      </w:r>
      <w:r>
        <w:rPr>
          <w:color w:val="0E101A"/>
        </w:rPr>
        <w:lastRenderedPageBreak/>
        <w:t>and trade-offs which defined what the stakeholders would gain and in what way they would benefit.  </w:t>
      </w:r>
    </w:p>
    <w:p w14:paraId="6F74CF2E" w14:textId="28892D13" w:rsidR="00B94C45" w:rsidRDefault="00B94C45" w:rsidP="00B94C45">
      <w:pPr>
        <w:pStyle w:val="NormalWeb"/>
        <w:spacing w:before="0" w:beforeAutospacing="0" w:after="0" w:afterAutospacing="0" w:line="480" w:lineRule="auto"/>
        <w:ind w:firstLine="720"/>
        <w:rPr>
          <w:color w:val="0E101A"/>
        </w:rPr>
      </w:pPr>
      <w:r>
        <w:rPr>
          <w:color w:val="0E101A"/>
        </w:rPr>
        <w:t xml:space="preserve">Several trade-offs are offered to </w:t>
      </w:r>
      <w:r w:rsidR="00601EDB">
        <w:rPr>
          <w:color w:val="0E101A"/>
        </w:rPr>
        <w:t>generate</w:t>
      </w:r>
      <w:r>
        <w:rPr>
          <w:color w:val="0E101A"/>
        </w:rPr>
        <w:t xml:space="preserve"> stability to healthcare stakeholders. One </w:t>
      </w:r>
      <w:r w:rsidR="00601EDB">
        <w:rPr>
          <w:color w:val="0E101A"/>
        </w:rPr>
        <w:t>major</w:t>
      </w:r>
      <w:r>
        <w:rPr>
          <w:color w:val="0E101A"/>
        </w:rPr>
        <w:t xml:space="preserve"> trade-off is usability. It can be specifically challenging to outline enough security around usability. Several features of usability are operated by the patient population that uses the device. For instance, a younger patient population will have a different basis for technology usage as compared to an elder one. In addition, a system that is viable for a younger patient might not be challenging to an older patient. Passwords give an illustration of the intersection of usability and security. Systems that are password-based have high-tech security controls which can give necessary safety. However, this can only be done under specific requirements that are influenced directly by the one choosing the password. According to McColl-Kennedy et al. (2020), finding the right balance in this challenge is important to sustaining security and usability. Patient population, the use scenarios, plus the use environment all impact the types of security controls that are practical.</w:t>
      </w:r>
    </w:p>
    <w:p w14:paraId="6F3D1B82" w14:textId="77777777" w:rsidR="00B94C45" w:rsidRDefault="00B94C45" w:rsidP="00B94C45">
      <w:pPr>
        <w:pStyle w:val="NormalWeb"/>
        <w:spacing w:before="0" w:beforeAutospacing="0" w:after="0" w:afterAutospacing="0" w:line="480" w:lineRule="auto"/>
        <w:ind w:firstLine="720"/>
        <w:rPr>
          <w:color w:val="0E101A"/>
        </w:rPr>
      </w:pPr>
      <w:r>
        <w:rPr>
          <w:color w:val="0E101A"/>
        </w:rPr>
        <w:t xml:space="preserve">Another trade-off offered to create balance for the healthcare stakeholders is cost. Increasing medical devices cost lead to an increase in the cost of patient care. For medical devices manufacturers, there is immense pressure to make therapies plus products more cost-effective from both the patients and insurers. </w:t>
      </w:r>
      <w:proofErr w:type="spellStart"/>
      <w:proofErr w:type="gramStart"/>
      <w:r>
        <w:rPr>
          <w:color w:val="0E101A"/>
        </w:rPr>
        <w:t>Oláh</w:t>
      </w:r>
      <w:proofErr w:type="spellEnd"/>
      <w:r>
        <w:rPr>
          <w:color w:val="0E101A"/>
        </w:rPr>
        <w:t xml:space="preserve"> et al. (2019) state that a safe remedy needs various fundamental technologies to endorse the security trio of availability, confidentiality, plus integrity.</w:t>
      </w:r>
      <w:proofErr w:type="gramEnd"/>
      <w:r>
        <w:rPr>
          <w:color w:val="0E101A"/>
        </w:rPr>
        <w:t xml:space="preserve"> However, the increase of upcoming security technologies inflated the cost of purchase and production of medical devices. There exists great tension between adding aspects and providing value that can be challenging to stabilize. When there is immense pressure to make sure health care is affordable, the raised costs give minimal perceived value to patients and </w:t>
      </w:r>
      <w:r>
        <w:rPr>
          <w:color w:val="0E101A"/>
        </w:rPr>
        <w:lastRenderedPageBreak/>
        <w:t>providers. Therefore, security is seen as a thing that is in direct competition with the provision of better health care for the patients. Other trade-offs that can be offered to create balance for healthcare stakeholders include patient privacy, time to market, and device life cycle.</w:t>
      </w:r>
    </w:p>
    <w:p w14:paraId="1655378D" w14:textId="1C691DBC" w:rsidR="00B94C45" w:rsidRDefault="00B94C45" w:rsidP="00B94C45">
      <w:pPr>
        <w:pStyle w:val="NormalWeb"/>
        <w:spacing w:before="0" w:beforeAutospacing="0" w:after="0" w:afterAutospacing="0" w:line="480" w:lineRule="auto"/>
        <w:ind w:firstLine="720"/>
        <w:rPr>
          <w:color w:val="0E101A"/>
        </w:rPr>
      </w:pPr>
      <w:r>
        <w:rPr>
          <w:color w:val="0E101A"/>
        </w:rPr>
        <w:t xml:space="preserve">Public </w:t>
      </w:r>
      <w:r w:rsidR="00601EDB">
        <w:rPr>
          <w:color w:val="0E101A"/>
        </w:rPr>
        <w:t>opinion</w:t>
      </w:r>
      <w:r>
        <w:rPr>
          <w:color w:val="0E101A"/>
        </w:rPr>
        <w:t xml:space="preserve"> and disinteres</w:t>
      </w:r>
      <w:r w:rsidR="00601EDB">
        <w:rPr>
          <w:color w:val="0E101A"/>
        </w:rPr>
        <w:t>t</w:t>
      </w:r>
      <w:r>
        <w:rPr>
          <w:color w:val="0E101A"/>
        </w:rPr>
        <w:t xml:space="preserve"> play a </w:t>
      </w:r>
      <w:r w:rsidR="00601EDB">
        <w:rPr>
          <w:color w:val="0E101A"/>
        </w:rPr>
        <w:t>crucial</w:t>
      </w:r>
      <w:r>
        <w:rPr>
          <w:color w:val="0E101A"/>
        </w:rPr>
        <w:t xml:space="preserve"> role in the valu</w:t>
      </w:r>
      <w:r w:rsidR="00601EDB">
        <w:rPr>
          <w:color w:val="0E101A"/>
        </w:rPr>
        <w:t>e</w:t>
      </w:r>
      <w:r>
        <w:rPr>
          <w:color w:val="0E101A"/>
        </w:rPr>
        <w:t xml:space="preserve"> of healthcare performance. Perception of the public normally shapes public debates, thus affecting patients' decisions on which facility to look for medical help and their expectancy on the standard of service they will get. In order to achieve effectiveness, the healthcare system needs to analyze public perception to assist them in controlling their reputation and understand what is required to meet the expectation of the public. According to Marshall et al. (2000), healthcare facilities are usually rated as per public opinions and views. In this section, accountability has lacked over the years since a large number of patients fail to participate in ranking or giving their views about services rendered by the facilities they visit to get treatment. Therefore, public health caregivers often lag behind the private players. This leaves the public facilities with substandard service delivery. Public disinterestedness in healthcare strategies is also blamed partially for the quality fall in public healthcare performance because it creates a lack of interest in the intellectual merit of healthcare performance. Lack of industry balance and inspection on the practitioner part together with public disinterestedness means that healthcare practitioners are left to go about health business as they please.</w:t>
      </w:r>
    </w:p>
    <w:p w14:paraId="5E40D04C" w14:textId="77777777" w:rsidR="00B94C45" w:rsidRDefault="00B94C45" w:rsidP="00B94C45">
      <w:pPr>
        <w:pStyle w:val="NormalWeb"/>
        <w:spacing w:before="0" w:beforeAutospacing="0" w:after="0" w:afterAutospacing="0" w:line="480" w:lineRule="auto"/>
        <w:ind w:firstLine="720"/>
        <w:rPr>
          <w:color w:val="0E101A"/>
        </w:rPr>
      </w:pPr>
      <w:r>
        <w:rPr>
          <w:color w:val="0E101A"/>
        </w:rPr>
        <w:t xml:space="preserve">Technology and medical innovations can have a significant impact on healthcare service provision. However, these innovations and technologies are sometimes a risk, which sometimes leads to unfavorable effects. As a matter of fact, all these medical innovations contain certain risk elements that should be considered in both clinical settings and patient products. This kind of analysis cannot be done in isolation. One must also consider the benefits of the remedies and </w:t>
      </w:r>
      <w:r>
        <w:rPr>
          <w:color w:val="0E101A"/>
        </w:rPr>
        <w:lastRenderedPageBreak/>
        <w:t xml:space="preserve">weigh them against inherent risks. On the contrary, insurance providers must maintain equitable treatment of customers to enable them to create a smooth system that is manageable and acceptable by all stakeholders. Through funds investment, the government makes a platform where all people have access to standard and good services, which makes the healthcare system more affordable. When the state participates in policy governance, it considers the required controls and inspections to make sure caregivers take part as equal shareholders and protect their investment. According to </w:t>
      </w:r>
      <w:proofErr w:type="spellStart"/>
      <w:r>
        <w:rPr>
          <w:color w:val="0E101A"/>
        </w:rPr>
        <w:t>Sarriot</w:t>
      </w:r>
      <w:proofErr w:type="spellEnd"/>
      <w:r>
        <w:rPr>
          <w:color w:val="0E101A"/>
        </w:rPr>
        <w:t xml:space="preserve"> et al. (2014), good governance sharpens the healthcare system and enables it to be more efficient to stakeholders. Technology has provided an efficient method of managing data which makes sure that insurance providers, healthcare givers, and the general public are covered by a secure system that upholds data confidentiality.</w:t>
      </w:r>
    </w:p>
    <w:p w14:paraId="7783D6A9" w14:textId="77777777" w:rsidR="00B94C45" w:rsidRDefault="00B94C45" w:rsidP="00B94C45">
      <w:pPr>
        <w:pStyle w:val="NormalWeb"/>
        <w:spacing w:before="0" w:beforeAutospacing="0" w:after="0" w:afterAutospacing="0" w:line="480" w:lineRule="auto"/>
        <w:ind w:firstLine="720"/>
        <w:rPr>
          <w:color w:val="0E101A"/>
        </w:rPr>
      </w:pPr>
      <w:r>
        <w:rPr>
          <w:color w:val="0E101A"/>
        </w:rPr>
        <w:t xml:space="preserve">The ACA has invented a policy that is agreeable to every stakeholder. It has also made it possible for every citizen to access good healthcare at chosen facilities. Trade-offs </w:t>
      </w:r>
      <w:proofErr w:type="gramStart"/>
      <w:r>
        <w:rPr>
          <w:color w:val="0E101A"/>
        </w:rPr>
        <w:t>are</w:t>
      </w:r>
      <w:proofErr w:type="gramEnd"/>
      <w:r>
        <w:rPr>
          <w:color w:val="0E101A"/>
        </w:rPr>
        <w:t xml:space="preserve"> difficult to address and deliberately presented with no remedies. What is essential is that all trade-offs are created deliberately, with safety being an equal component of the decision procedure. This is only achieved if the device manufacturer's development process takes into account safety as a basic design input. Public perception impacts healthcare greatly; hence, a lot must be done to promote the perception.</w:t>
      </w:r>
    </w:p>
    <w:p w14:paraId="4DE2FB5C" w14:textId="17D1CA9F" w:rsidR="00B94C45" w:rsidRDefault="00B94C45" w:rsidP="00B94C45"/>
    <w:p w14:paraId="6656F333" w14:textId="30BCE9A2" w:rsidR="00B94C45" w:rsidRDefault="00B94C45" w:rsidP="00B94C45"/>
    <w:p w14:paraId="19B918A7" w14:textId="54000B93" w:rsidR="00B94C45" w:rsidRDefault="00B94C45" w:rsidP="00B94C45"/>
    <w:p w14:paraId="20C8DBF9" w14:textId="77777777" w:rsidR="00B94C45" w:rsidRDefault="00B94C45" w:rsidP="00B94C45"/>
    <w:p w14:paraId="2C5C6196" w14:textId="5B72C383" w:rsidR="00B94C45" w:rsidRDefault="00B94C45" w:rsidP="006B6C44"/>
    <w:p w14:paraId="5CC36D2D" w14:textId="77777777" w:rsidR="00B94C45" w:rsidRDefault="00B94C45" w:rsidP="006B6C44"/>
    <w:p w14:paraId="3C575776" w14:textId="61544731" w:rsidR="00C1015D" w:rsidRDefault="00B94C45" w:rsidP="00C1015D">
      <w:pPr>
        <w:jc w:val="center"/>
        <w:rPr>
          <w:b/>
          <w:bCs/>
        </w:rPr>
      </w:pPr>
      <w:r w:rsidRPr="00B94C45">
        <w:rPr>
          <w:b/>
          <w:bCs/>
        </w:rPr>
        <w:lastRenderedPageBreak/>
        <w:t>References</w:t>
      </w:r>
    </w:p>
    <w:p w14:paraId="793C2061" w14:textId="570D8A4A" w:rsidR="00C1015D" w:rsidRPr="00C1015D" w:rsidRDefault="00C1015D" w:rsidP="00C1015D">
      <w:pPr>
        <w:ind w:firstLine="0"/>
        <w:rPr>
          <w:b/>
          <w:bCs/>
        </w:rPr>
      </w:pPr>
      <w:r w:rsidRPr="00C1015D">
        <w:t>“</w:t>
      </w:r>
      <w:r w:rsidRPr="00C1015D">
        <w:t xml:space="preserve">340B Drug Pricing Program </w:t>
      </w:r>
      <w:proofErr w:type="spellStart"/>
      <w:r w:rsidRPr="00C1015D">
        <w:t>Oversight</w:t>
      </w:r>
      <w:r w:rsidRPr="00C1015D">
        <w:t>”</w:t>
      </w:r>
      <w:r w:rsidRPr="00C1015D">
        <w:t>Chapters</w:t>
      </w:r>
      <w:proofErr w:type="spellEnd"/>
      <w:r w:rsidRPr="00C1015D">
        <w:t xml:space="preserve"> 14 and 15</w:t>
      </w:r>
    </w:p>
    <w:p w14:paraId="7DC30BA7" w14:textId="77777777" w:rsidR="00C1015D" w:rsidRPr="00B94C45" w:rsidRDefault="00C1015D" w:rsidP="00B94C45">
      <w:pPr>
        <w:ind w:left="720" w:hanging="720"/>
        <w:rPr>
          <w:rFonts w:cs="Times New Roman"/>
          <w:color w:val="222222"/>
          <w:szCs w:val="24"/>
          <w:shd w:val="clear" w:color="auto" w:fill="FFFFFF"/>
        </w:rPr>
      </w:pPr>
      <w:proofErr w:type="gramStart"/>
      <w:r w:rsidRPr="00B94C45">
        <w:rPr>
          <w:rFonts w:cs="Times New Roman"/>
          <w:color w:val="222222"/>
          <w:szCs w:val="24"/>
          <w:shd w:val="clear" w:color="auto" w:fill="FFFFFF"/>
        </w:rPr>
        <w:t xml:space="preserve">Marshall, M. N., </w:t>
      </w:r>
      <w:proofErr w:type="spellStart"/>
      <w:r w:rsidRPr="00B94C45">
        <w:rPr>
          <w:rFonts w:cs="Times New Roman"/>
          <w:color w:val="222222"/>
          <w:szCs w:val="24"/>
          <w:shd w:val="clear" w:color="auto" w:fill="FFFFFF"/>
        </w:rPr>
        <w:t>Shekelle</w:t>
      </w:r>
      <w:proofErr w:type="spellEnd"/>
      <w:r w:rsidRPr="00B94C45">
        <w:rPr>
          <w:rFonts w:cs="Times New Roman"/>
          <w:color w:val="222222"/>
          <w:szCs w:val="24"/>
          <w:shd w:val="clear" w:color="auto" w:fill="FFFFFF"/>
        </w:rPr>
        <w:t>, P. G., Leatherman, S., &amp; Brook, R. H. (2000).</w:t>
      </w:r>
      <w:proofErr w:type="gramEnd"/>
      <w:r w:rsidRPr="00B94C45">
        <w:rPr>
          <w:rFonts w:cs="Times New Roman"/>
          <w:color w:val="222222"/>
          <w:szCs w:val="24"/>
          <w:shd w:val="clear" w:color="auto" w:fill="FFFFFF"/>
        </w:rPr>
        <w:t xml:space="preserve"> The public release of performance data: what do we expect to gain? </w:t>
      </w:r>
      <w:proofErr w:type="gramStart"/>
      <w:r w:rsidRPr="00B94C45">
        <w:rPr>
          <w:rFonts w:cs="Times New Roman"/>
          <w:color w:val="222222"/>
          <w:szCs w:val="24"/>
          <w:shd w:val="clear" w:color="auto" w:fill="FFFFFF"/>
        </w:rPr>
        <w:t>A review of the evidence.</w:t>
      </w:r>
      <w:proofErr w:type="gramEnd"/>
      <w:r w:rsidRPr="00B94C45">
        <w:rPr>
          <w:rFonts w:cs="Times New Roman"/>
          <w:color w:val="222222"/>
          <w:szCs w:val="24"/>
          <w:shd w:val="clear" w:color="auto" w:fill="FFFFFF"/>
        </w:rPr>
        <w:t> </w:t>
      </w:r>
      <w:proofErr w:type="spellStart"/>
      <w:r w:rsidRPr="00B94C45">
        <w:rPr>
          <w:rFonts w:cs="Times New Roman"/>
          <w:i/>
          <w:iCs/>
          <w:color w:val="222222"/>
          <w:szCs w:val="24"/>
          <w:shd w:val="clear" w:color="auto" w:fill="FFFFFF"/>
        </w:rPr>
        <w:t>Jama</w:t>
      </w:r>
      <w:proofErr w:type="spellEnd"/>
      <w:r w:rsidRPr="00B94C45">
        <w:rPr>
          <w:rFonts w:cs="Times New Roman"/>
          <w:color w:val="222222"/>
          <w:szCs w:val="24"/>
          <w:shd w:val="clear" w:color="auto" w:fill="FFFFFF"/>
        </w:rPr>
        <w:t>, </w:t>
      </w:r>
      <w:r w:rsidRPr="00B94C45">
        <w:rPr>
          <w:rFonts w:cs="Times New Roman"/>
          <w:i/>
          <w:iCs/>
          <w:color w:val="222222"/>
          <w:szCs w:val="24"/>
          <w:shd w:val="clear" w:color="auto" w:fill="FFFFFF"/>
        </w:rPr>
        <w:t>283</w:t>
      </w:r>
      <w:r w:rsidRPr="00B94C45">
        <w:rPr>
          <w:rFonts w:cs="Times New Roman"/>
          <w:color w:val="222222"/>
          <w:szCs w:val="24"/>
          <w:shd w:val="clear" w:color="auto" w:fill="FFFFFF"/>
        </w:rPr>
        <w:t>(14), 1866-1874.</w:t>
      </w:r>
      <w:bookmarkStart w:id="0" w:name="_GoBack"/>
      <w:bookmarkEnd w:id="0"/>
    </w:p>
    <w:p w14:paraId="3EA308F1" w14:textId="77777777" w:rsidR="00C1015D" w:rsidRPr="00B94C45" w:rsidRDefault="00C1015D" w:rsidP="00B94C45">
      <w:pPr>
        <w:ind w:left="720" w:hanging="720"/>
        <w:rPr>
          <w:rFonts w:cs="Times New Roman"/>
          <w:color w:val="222222"/>
          <w:szCs w:val="24"/>
          <w:shd w:val="clear" w:color="auto" w:fill="FFFFFF"/>
        </w:rPr>
      </w:pPr>
      <w:proofErr w:type="gramStart"/>
      <w:r w:rsidRPr="00B94C45">
        <w:rPr>
          <w:rFonts w:cs="Times New Roman"/>
          <w:color w:val="222222"/>
          <w:szCs w:val="24"/>
          <w:shd w:val="clear" w:color="auto" w:fill="FFFFFF"/>
        </w:rPr>
        <w:t xml:space="preserve">McColl-Kennedy, J. R., Cheung, L., &amp; </w:t>
      </w:r>
      <w:proofErr w:type="spellStart"/>
      <w:r w:rsidRPr="00B94C45">
        <w:rPr>
          <w:rFonts w:cs="Times New Roman"/>
          <w:color w:val="222222"/>
          <w:szCs w:val="24"/>
          <w:shd w:val="clear" w:color="auto" w:fill="FFFFFF"/>
        </w:rPr>
        <w:t>Coote</w:t>
      </w:r>
      <w:proofErr w:type="spellEnd"/>
      <w:r w:rsidRPr="00B94C45">
        <w:rPr>
          <w:rFonts w:cs="Times New Roman"/>
          <w:color w:val="222222"/>
          <w:szCs w:val="24"/>
          <w:shd w:val="clear" w:color="auto" w:fill="FFFFFF"/>
        </w:rPr>
        <w:t>, L. V. (2020).</w:t>
      </w:r>
      <w:proofErr w:type="gramEnd"/>
      <w:r w:rsidRPr="00B94C45">
        <w:rPr>
          <w:rFonts w:cs="Times New Roman"/>
          <w:color w:val="222222"/>
          <w:szCs w:val="24"/>
          <w:shd w:val="clear" w:color="auto" w:fill="FFFFFF"/>
        </w:rPr>
        <w:t xml:space="preserve"> Tensions and trade-offs in multi-actor service ecosystems. </w:t>
      </w:r>
      <w:r w:rsidRPr="00B94C45">
        <w:rPr>
          <w:rFonts w:cs="Times New Roman"/>
          <w:i/>
          <w:iCs/>
          <w:color w:val="222222"/>
          <w:szCs w:val="24"/>
          <w:shd w:val="clear" w:color="auto" w:fill="FFFFFF"/>
        </w:rPr>
        <w:t>Journal of Business Research</w:t>
      </w:r>
      <w:r w:rsidRPr="00B94C45">
        <w:rPr>
          <w:rFonts w:cs="Times New Roman"/>
          <w:color w:val="222222"/>
          <w:szCs w:val="24"/>
          <w:shd w:val="clear" w:color="auto" w:fill="FFFFFF"/>
        </w:rPr>
        <w:t>, </w:t>
      </w:r>
      <w:r w:rsidRPr="00B94C45">
        <w:rPr>
          <w:rFonts w:cs="Times New Roman"/>
          <w:i/>
          <w:iCs/>
          <w:color w:val="222222"/>
          <w:szCs w:val="24"/>
          <w:shd w:val="clear" w:color="auto" w:fill="FFFFFF"/>
        </w:rPr>
        <w:t>121</w:t>
      </w:r>
      <w:r w:rsidRPr="00B94C45">
        <w:rPr>
          <w:rFonts w:cs="Times New Roman"/>
          <w:color w:val="222222"/>
          <w:szCs w:val="24"/>
          <w:shd w:val="clear" w:color="auto" w:fill="FFFFFF"/>
        </w:rPr>
        <w:t>, 655-666.</w:t>
      </w:r>
    </w:p>
    <w:p w14:paraId="0F9AE862" w14:textId="77777777" w:rsidR="00C1015D" w:rsidRPr="00B94C45" w:rsidRDefault="00C1015D" w:rsidP="00B94C45">
      <w:pPr>
        <w:ind w:left="720" w:hanging="720"/>
        <w:rPr>
          <w:rFonts w:cs="Times New Roman"/>
          <w:color w:val="222222"/>
          <w:szCs w:val="24"/>
          <w:shd w:val="clear" w:color="auto" w:fill="FFFFFF"/>
        </w:rPr>
      </w:pPr>
      <w:proofErr w:type="spellStart"/>
      <w:proofErr w:type="gramStart"/>
      <w:r w:rsidRPr="00B94C45">
        <w:rPr>
          <w:rFonts w:cs="Times New Roman"/>
          <w:color w:val="222222"/>
          <w:szCs w:val="24"/>
          <w:shd w:val="clear" w:color="auto" w:fill="FFFFFF"/>
        </w:rPr>
        <w:t>Oláh</w:t>
      </w:r>
      <w:proofErr w:type="spellEnd"/>
      <w:r w:rsidRPr="00B94C45">
        <w:rPr>
          <w:rFonts w:cs="Times New Roman"/>
          <w:color w:val="222222"/>
          <w:szCs w:val="24"/>
          <w:shd w:val="clear" w:color="auto" w:fill="FFFFFF"/>
        </w:rPr>
        <w:t xml:space="preserve">, J., </w:t>
      </w:r>
      <w:proofErr w:type="spellStart"/>
      <w:r w:rsidRPr="00B94C45">
        <w:rPr>
          <w:rFonts w:cs="Times New Roman"/>
          <w:color w:val="222222"/>
          <w:szCs w:val="24"/>
          <w:shd w:val="clear" w:color="auto" w:fill="FFFFFF"/>
        </w:rPr>
        <w:t>Kitukutha</w:t>
      </w:r>
      <w:proofErr w:type="spellEnd"/>
      <w:r w:rsidRPr="00B94C45">
        <w:rPr>
          <w:rFonts w:cs="Times New Roman"/>
          <w:color w:val="222222"/>
          <w:szCs w:val="24"/>
          <w:shd w:val="clear" w:color="auto" w:fill="FFFFFF"/>
        </w:rPr>
        <w:t xml:space="preserve">, N., Haddad, H., </w:t>
      </w:r>
      <w:proofErr w:type="spellStart"/>
      <w:r w:rsidRPr="00B94C45">
        <w:rPr>
          <w:rFonts w:cs="Times New Roman"/>
          <w:color w:val="222222"/>
          <w:szCs w:val="24"/>
          <w:shd w:val="clear" w:color="auto" w:fill="FFFFFF"/>
        </w:rPr>
        <w:t>Pakurár</w:t>
      </w:r>
      <w:proofErr w:type="spellEnd"/>
      <w:r w:rsidRPr="00B94C45">
        <w:rPr>
          <w:rFonts w:cs="Times New Roman"/>
          <w:color w:val="222222"/>
          <w:szCs w:val="24"/>
          <w:shd w:val="clear" w:color="auto" w:fill="FFFFFF"/>
        </w:rPr>
        <w:t xml:space="preserve">, M., </w:t>
      </w:r>
      <w:proofErr w:type="spellStart"/>
      <w:r w:rsidRPr="00B94C45">
        <w:rPr>
          <w:rFonts w:cs="Times New Roman"/>
          <w:color w:val="222222"/>
          <w:szCs w:val="24"/>
          <w:shd w:val="clear" w:color="auto" w:fill="FFFFFF"/>
        </w:rPr>
        <w:t>Máté</w:t>
      </w:r>
      <w:proofErr w:type="spellEnd"/>
      <w:r w:rsidRPr="00B94C45">
        <w:rPr>
          <w:rFonts w:cs="Times New Roman"/>
          <w:color w:val="222222"/>
          <w:szCs w:val="24"/>
          <w:shd w:val="clear" w:color="auto" w:fill="FFFFFF"/>
        </w:rPr>
        <w:t>, D., &amp; Popp, J. (2019).</w:t>
      </w:r>
      <w:proofErr w:type="gramEnd"/>
      <w:r w:rsidRPr="00B94C45">
        <w:rPr>
          <w:rFonts w:cs="Times New Roman"/>
          <w:color w:val="222222"/>
          <w:szCs w:val="24"/>
          <w:shd w:val="clear" w:color="auto" w:fill="FFFFFF"/>
        </w:rPr>
        <w:t xml:space="preserve"> Achieving sustainable e-commerce in environmental, social and economic dimensions by taking possible trade-offs. </w:t>
      </w:r>
      <w:proofErr w:type="gramStart"/>
      <w:r w:rsidRPr="00B94C45">
        <w:rPr>
          <w:rFonts w:cs="Times New Roman"/>
          <w:i/>
          <w:iCs/>
          <w:color w:val="222222"/>
          <w:szCs w:val="24"/>
          <w:shd w:val="clear" w:color="auto" w:fill="FFFFFF"/>
        </w:rPr>
        <w:t>Sustainability</w:t>
      </w:r>
      <w:r w:rsidRPr="00B94C45">
        <w:rPr>
          <w:rFonts w:cs="Times New Roman"/>
          <w:color w:val="222222"/>
          <w:szCs w:val="24"/>
          <w:shd w:val="clear" w:color="auto" w:fill="FFFFFF"/>
        </w:rPr>
        <w:t>, </w:t>
      </w:r>
      <w:r w:rsidRPr="00B94C45">
        <w:rPr>
          <w:rFonts w:cs="Times New Roman"/>
          <w:i/>
          <w:iCs/>
          <w:color w:val="222222"/>
          <w:szCs w:val="24"/>
          <w:shd w:val="clear" w:color="auto" w:fill="FFFFFF"/>
        </w:rPr>
        <w:t>11</w:t>
      </w:r>
      <w:r w:rsidRPr="00B94C45">
        <w:rPr>
          <w:rFonts w:cs="Times New Roman"/>
          <w:color w:val="222222"/>
          <w:szCs w:val="24"/>
          <w:shd w:val="clear" w:color="auto" w:fill="FFFFFF"/>
        </w:rPr>
        <w:t>(1), 89.</w:t>
      </w:r>
      <w:proofErr w:type="gramEnd"/>
    </w:p>
    <w:p w14:paraId="44D1C17B" w14:textId="77777777" w:rsidR="00C1015D" w:rsidRPr="00B94C45" w:rsidRDefault="00C1015D" w:rsidP="00B94C45">
      <w:pPr>
        <w:ind w:left="720" w:hanging="720"/>
        <w:rPr>
          <w:rFonts w:cs="Times New Roman"/>
          <w:b/>
          <w:bCs/>
          <w:szCs w:val="24"/>
        </w:rPr>
      </w:pPr>
      <w:proofErr w:type="spellStart"/>
      <w:proofErr w:type="gramStart"/>
      <w:r w:rsidRPr="00B94C45">
        <w:rPr>
          <w:rFonts w:cs="Times New Roman"/>
          <w:color w:val="222222"/>
          <w:szCs w:val="24"/>
          <w:shd w:val="clear" w:color="auto" w:fill="FFFFFF"/>
        </w:rPr>
        <w:t>Sarriot</w:t>
      </w:r>
      <w:proofErr w:type="spellEnd"/>
      <w:r w:rsidRPr="00B94C45">
        <w:rPr>
          <w:rFonts w:cs="Times New Roman"/>
          <w:color w:val="222222"/>
          <w:szCs w:val="24"/>
          <w:shd w:val="clear" w:color="auto" w:fill="FFFFFF"/>
        </w:rPr>
        <w:t xml:space="preserve">, E. G., </w:t>
      </w:r>
      <w:proofErr w:type="spellStart"/>
      <w:r w:rsidRPr="00B94C45">
        <w:rPr>
          <w:rFonts w:cs="Times New Roman"/>
          <w:color w:val="222222"/>
          <w:szCs w:val="24"/>
          <w:shd w:val="clear" w:color="auto" w:fill="FFFFFF"/>
        </w:rPr>
        <w:t>Kouletio</w:t>
      </w:r>
      <w:proofErr w:type="spellEnd"/>
      <w:r w:rsidRPr="00B94C45">
        <w:rPr>
          <w:rFonts w:cs="Times New Roman"/>
          <w:color w:val="222222"/>
          <w:szCs w:val="24"/>
          <w:shd w:val="clear" w:color="auto" w:fill="FFFFFF"/>
        </w:rPr>
        <w:t xml:space="preserve">, M., </w:t>
      </w:r>
      <w:proofErr w:type="spellStart"/>
      <w:r w:rsidRPr="00B94C45">
        <w:rPr>
          <w:rFonts w:cs="Times New Roman"/>
          <w:color w:val="222222"/>
          <w:szCs w:val="24"/>
          <w:shd w:val="clear" w:color="auto" w:fill="FFFFFF"/>
        </w:rPr>
        <w:t>Jahan</w:t>
      </w:r>
      <w:proofErr w:type="spellEnd"/>
      <w:r w:rsidRPr="00B94C45">
        <w:rPr>
          <w:rFonts w:cs="Times New Roman"/>
          <w:color w:val="222222"/>
          <w:szCs w:val="24"/>
          <w:shd w:val="clear" w:color="auto" w:fill="FFFFFF"/>
        </w:rPr>
        <w:t xml:space="preserve">, S., </w:t>
      </w:r>
      <w:proofErr w:type="spellStart"/>
      <w:r w:rsidRPr="00B94C45">
        <w:rPr>
          <w:rFonts w:cs="Times New Roman"/>
          <w:color w:val="222222"/>
          <w:szCs w:val="24"/>
          <w:shd w:val="clear" w:color="auto" w:fill="FFFFFF"/>
        </w:rPr>
        <w:t>Rasul</w:t>
      </w:r>
      <w:proofErr w:type="spellEnd"/>
      <w:r w:rsidRPr="00B94C45">
        <w:rPr>
          <w:rFonts w:cs="Times New Roman"/>
          <w:color w:val="222222"/>
          <w:szCs w:val="24"/>
          <w:shd w:val="clear" w:color="auto" w:fill="FFFFFF"/>
        </w:rPr>
        <w:t xml:space="preserve">, I., &amp; </w:t>
      </w:r>
      <w:proofErr w:type="spellStart"/>
      <w:r w:rsidRPr="00B94C45">
        <w:rPr>
          <w:rFonts w:cs="Times New Roman"/>
          <w:color w:val="222222"/>
          <w:szCs w:val="24"/>
          <w:shd w:val="clear" w:color="auto" w:fill="FFFFFF"/>
        </w:rPr>
        <w:t>Musha</w:t>
      </w:r>
      <w:proofErr w:type="spellEnd"/>
      <w:r w:rsidRPr="00B94C45">
        <w:rPr>
          <w:rFonts w:cs="Times New Roman"/>
          <w:color w:val="222222"/>
          <w:szCs w:val="24"/>
          <w:shd w:val="clear" w:color="auto" w:fill="FFFFFF"/>
        </w:rPr>
        <w:t>, A. K. M. (2014).</w:t>
      </w:r>
      <w:proofErr w:type="gramEnd"/>
      <w:r w:rsidRPr="00B94C45">
        <w:rPr>
          <w:rFonts w:cs="Times New Roman"/>
          <w:color w:val="222222"/>
          <w:szCs w:val="24"/>
          <w:shd w:val="clear" w:color="auto" w:fill="FFFFFF"/>
        </w:rPr>
        <w:t xml:space="preserve"> Advancing the application of systems thinking in health: sustainability evaluation as learning and sense-making in a complex urban health system in Northern Bangladesh. </w:t>
      </w:r>
      <w:r w:rsidRPr="00B94C45">
        <w:rPr>
          <w:rFonts w:cs="Times New Roman"/>
          <w:i/>
          <w:iCs/>
          <w:color w:val="222222"/>
          <w:szCs w:val="24"/>
          <w:shd w:val="clear" w:color="auto" w:fill="FFFFFF"/>
        </w:rPr>
        <w:t>Health Research Policy and Systems</w:t>
      </w:r>
      <w:r w:rsidRPr="00B94C45">
        <w:rPr>
          <w:rFonts w:cs="Times New Roman"/>
          <w:color w:val="222222"/>
          <w:szCs w:val="24"/>
          <w:shd w:val="clear" w:color="auto" w:fill="FFFFFF"/>
        </w:rPr>
        <w:t>, </w:t>
      </w:r>
      <w:r w:rsidRPr="00B94C45">
        <w:rPr>
          <w:rFonts w:cs="Times New Roman"/>
          <w:i/>
          <w:iCs/>
          <w:color w:val="222222"/>
          <w:szCs w:val="24"/>
          <w:shd w:val="clear" w:color="auto" w:fill="FFFFFF"/>
        </w:rPr>
        <w:t>12</w:t>
      </w:r>
      <w:r w:rsidRPr="00B94C45">
        <w:rPr>
          <w:rFonts w:cs="Times New Roman"/>
          <w:color w:val="222222"/>
          <w:szCs w:val="24"/>
          <w:shd w:val="clear" w:color="auto" w:fill="FFFFFF"/>
        </w:rPr>
        <w:t>(1), 1-12.</w:t>
      </w:r>
    </w:p>
    <w:p w14:paraId="3DF86945" w14:textId="77777777" w:rsidR="00C1015D" w:rsidRPr="00B94C45" w:rsidRDefault="00C1015D" w:rsidP="00B94C45">
      <w:pPr>
        <w:ind w:left="720" w:hanging="720"/>
        <w:rPr>
          <w:rFonts w:cs="Times New Roman"/>
          <w:color w:val="222222"/>
          <w:szCs w:val="24"/>
          <w:shd w:val="clear" w:color="auto" w:fill="FFFFFF"/>
        </w:rPr>
      </w:pPr>
      <w:r w:rsidRPr="00B94C45">
        <w:rPr>
          <w:rFonts w:cs="Times New Roman"/>
          <w:color w:val="222222"/>
          <w:szCs w:val="24"/>
          <w:shd w:val="clear" w:color="auto" w:fill="FFFFFF"/>
        </w:rPr>
        <w:t>Scott, J. W., Neiman, P. U., Uribe-</w:t>
      </w:r>
      <w:proofErr w:type="spellStart"/>
      <w:r w:rsidRPr="00B94C45">
        <w:rPr>
          <w:rFonts w:cs="Times New Roman"/>
          <w:color w:val="222222"/>
          <w:szCs w:val="24"/>
          <w:shd w:val="clear" w:color="auto" w:fill="FFFFFF"/>
        </w:rPr>
        <w:t>Leitz</w:t>
      </w:r>
      <w:proofErr w:type="spellEnd"/>
      <w:r w:rsidRPr="00B94C45">
        <w:rPr>
          <w:rFonts w:cs="Times New Roman"/>
          <w:color w:val="222222"/>
          <w:szCs w:val="24"/>
          <w:shd w:val="clear" w:color="auto" w:fill="FFFFFF"/>
        </w:rPr>
        <w:t xml:space="preserve">, T., Scott, K. W., </w:t>
      </w:r>
      <w:proofErr w:type="spellStart"/>
      <w:r w:rsidRPr="00B94C45">
        <w:rPr>
          <w:rFonts w:cs="Times New Roman"/>
          <w:color w:val="222222"/>
          <w:szCs w:val="24"/>
          <w:shd w:val="clear" w:color="auto" w:fill="FFFFFF"/>
        </w:rPr>
        <w:t>Zogg</w:t>
      </w:r>
      <w:proofErr w:type="spellEnd"/>
      <w:r w:rsidRPr="00B94C45">
        <w:rPr>
          <w:rFonts w:cs="Times New Roman"/>
          <w:color w:val="222222"/>
          <w:szCs w:val="24"/>
          <w:shd w:val="clear" w:color="auto" w:fill="FFFFFF"/>
        </w:rPr>
        <w:t xml:space="preserve">, C. K., </w:t>
      </w:r>
      <w:proofErr w:type="spellStart"/>
      <w:r w:rsidRPr="00B94C45">
        <w:rPr>
          <w:rFonts w:cs="Times New Roman"/>
          <w:color w:val="222222"/>
          <w:szCs w:val="24"/>
          <w:shd w:val="clear" w:color="auto" w:fill="FFFFFF"/>
        </w:rPr>
        <w:t>Salim</w:t>
      </w:r>
      <w:proofErr w:type="spellEnd"/>
      <w:r w:rsidRPr="00B94C45">
        <w:rPr>
          <w:rFonts w:cs="Times New Roman"/>
          <w:color w:val="222222"/>
          <w:szCs w:val="24"/>
          <w:shd w:val="clear" w:color="auto" w:fill="FFFFFF"/>
        </w:rPr>
        <w:t xml:space="preserve">, A., &amp; </w:t>
      </w:r>
      <w:proofErr w:type="spellStart"/>
      <w:r w:rsidRPr="00B94C45">
        <w:rPr>
          <w:rFonts w:cs="Times New Roman"/>
          <w:color w:val="222222"/>
          <w:szCs w:val="24"/>
          <w:shd w:val="clear" w:color="auto" w:fill="FFFFFF"/>
        </w:rPr>
        <w:t>Haider</w:t>
      </w:r>
      <w:proofErr w:type="spellEnd"/>
      <w:r w:rsidRPr="00B94C45">
        <w:rPr>
          <w:rFonts w:cs="Times New Roman"/>
          <w:color w:val="222222"/>
          <w:szCs w:val="24"/>
          <w:shd w:val="clear" w:color="auto" w:fill="FFFFFF"/>
        </w:rPr>
        <w:t>, A. H. (2019). Impact of Affordable Care Act–related insurance expansion policies on mortality and access to post-discharge care for trauma patients: an analysis of the National Trauma Data Bank. </w:t>
      </w:r>
      <w:proofErr w:type="gramStart"/>
      <w:r w:rsidRPr="00B94C45">
        <w:rPr>
          <w:rFonts w:cs="Times New Roman"/>
          <w:i/>
          <w:iCs/>
          <w:color w:val="222222"/>
          <w:szCs w:val="24"/>
          <w:shd w:val="clear" w:color="auto" w:fill="FFFFFF"/>
        </w:rPr>
        <w:t>Journal of trauma and acute care surgery</w:t>
      </w:r>
      <w:r w:rsidRPr="00B94C45">
        <w:rPr>
          <w:rFonts w:cs="Times New Roman"/>
          <w:color w:val="222222"/>
          <w:szCs w:val="24"/>
          <w:shd w:val="clear" w:color="auto" w:fill="FFFFFF"/>
        </w:rPr>
        <w:t>, </w:t>
      </w:r>
      <w:r w:rsidRPr="00B94C45">
        <w:rPr>
          <w:rFonts w:cs="Times New Roman"/>
          <w:i/>
          <w:iCs/>
          <w:color w:val="222222"/>
          <w:szCs w:val="24"/>
          <w:shd w:val="clear" w:color="auto" w:fill="FFFFFF"/>
        </w:rPr>
        <w:t>86</w:t>
      </w:r>
      <w:r w:rsidRPr="00B94C45">
        <w:rPr>
          <w:rFonts w:cs="Times New Roman"/>
          <w:color w:val="222222"/>
          <w:szCs w:val="24"/>
          <w:shd w:val="clear" w:color="auto" w:fill="FFFFFF"/>
        </w:rPr>
        <w:t>(2), 196-205.</w:t>
      </w:r>
      <w:proofErr w:type="gramEnd"/>
    </w:p>
    <w:sectPr w:rsidR="00C1015D" w:rsidRPr="00B94C45" w:rsidSect="00B94C4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D366B" w14:textId="77777777" w:rsidR="00DA0E07" w:rsidRDefault="00DA0E07" w:rsidP="00B94C45">
      <w:pPr>
        <w:spacing w:line="240" w:lineRule="auto"/>
      </w:pPr>
      <w:r>
        <w:separator/>
      </w:r>
    </w:p>
  </w:endnote>
  <w:endnote w:type="continuationSeparator" w:id="0">
    <w:p w14:paraId="1B9BE045" w14:textId="77777777" w:rsidR="00DA0E07" w:rsidRDefault="00DA0E07" w:rsidP="00B94C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CBDEB" w14:textId="77777777" w:rsidR="00DA0E07" w:rsidRDefault="00DA0E07" w:rsidP="00B94C45">
      <w:pPr>
        <w:spacing w:line="240" w:lineRule="auto"/>
      </w:pPr>
      <w:r>
        <w:separator/>
      </w:r>
    </w:p>
  </w:footnote>
  <w:footnote w:type="continuationSeparator" w:id="0">
    <w:p w14:paraId="1570F7BA" w14:textId="77777777" w:rsidR="00DA0E07" w:rsidRDefault="00DA0E07" w:rsidP="00B94C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460507"/>
      <w:docPartObj>
        <w:docPartGallery w:val="Page Numbers (Top of Page)"/>
        <w:docPartUnique/>
      </w:docPartObj>
    </w:sdtPr>
    <w:sdtEndPr>
      <w:rPr>
        <w:noProof/>
      </w:rPr>
    </w:sdtEndPr>
    <w:sdtContent>
      <w:p w14:paraId="5B42EAD5" w14:textId="25C2BB88" w:rsidR="00B94C45" w:rsidRDefault="00B94C45" w:rsidP="00B94C45">
        <w:pPr>
          <w:pStyle w:val="Header"/>
          <w:ind w:firstLine="0"/>
        </w:pPr>
        <w:r>
          <w:t>MAINTAINING STAKEHOLDERS’ LOYALTY</w:t>
        </w:r>
        <w:r>
          <w:tab/>
        </w:r>
        <w:r>
          <w:fldChar w:fldCharType="begin"/>
        </w:r>
        <w:r>
          <w:instrText xml:space="preserve"> PAGE   \* MERGEFORMAT </w:instrText>
        </w:r>
        <w:r>
          <w:fldChar w:fldCharType="separate"/>
        </w:r>
        <w:r w:rsidR="00C1015D">
          <w:rPr>
            <w:noProof/>
          </w:rPr>
          <w:t>6</w:t>
        </w:r>
        <w:r>
          <w:rPr>
            <w:noProof/>
          </w:rPr>
          <w:fldChar w:fldCharType="end"/>
        </w:r>
      </w:p>
    </w:sdtContent>
  </w:sdt>
  <w:p w14:paraId="17954078" w14:textId="77777777" w:rsidR="00B94C45" w:rsidRDefault="00B94C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402831"/>
      <w:docPartObj>
        <w:docPartGallery w:val="Page Numbers (Top of Page)"/>
        <w:docPartUnique/>
      </w:docPartObj>
    </w:sdtPr>
    <w:sdtEndPr>
      <w:rPr>
        <w:noProof/>
      </w:rPr>
    </w:sdtEndPr>
    <w:sdtContent>
      <w:p w14:paraId="333BA3CA" w14:textId="4D3BAB17" w:rsidR="00B94C45" w:rsidRDefault="00B94C45" w:rsidP="00B94C45">
        <w:pPr>
          <w:pStyle w:val="Header"/>
          <w:ind w:firstLine="0"/>
        </w:pPr>
        <w:r>
          <w:t>Running Head: MAINTAINING STAKEHOLDERS’ LOYALTY</w:t>
        </w:r>
        <w:r>
          <w:tab/>
        </w:r>
        <w:r>
          <w:fldChar w:fldCharType="begin"/>
        </w:r>
        <w:r>
          <w:instrText xml:space="preserve"> PAGE   \* MERGEFORMAT </w:instrText>
        </w:r>
        <w:r>
          <w:fldChar w:fldCharType="separate"/>
        </w:r>
        <w:r w:rsidR="00C1015D">
          <w:rPr>
            <w:noProof/>
          </w:rPr>
          <w:t>1</w:t>
        </w:r>
        <w:r>
          <w:rPr>
            <w:noProof/>
          </w:rPr>
          <w:fldChar w:fldCharType="end"/>
        </w:r>
      </w:p>
    </w:sdtContent>
  </w:sdt>
  <w:p w14:paraId="1E1D1899" w14:textId="77777777" w:rsidR="00B94C45" w:rsidRDefault="00B94C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372"/>
    <w:rsid w:val="0006415F"/>
    <w:rsid w:val="000F64A6"/>
    <w:rsid w:val="00170CF5"/>
    <w:rsid w:val="00171CAB"/>
    <w:rsid w:val="0021451D"/>
    <w:rsid w:val="0023704E"/>
    <w:rsid w:val="002C2C9A"/>
    <w:rsid w:val="002E1E83"/>
    <w:rsid w:val="00315DE0"/>
    <w:rsid w:val="003504C1"/>
    <w:rsid w:val="00381D19"/>
    <w:rsid w:val="00601EDB"/>
    <w:rsid w:val="00615AAA"/>
    <w:rsid w:val="00674D5F"/>
    <w:rsid w:val="006B6C44"/>
    <w:rsid w:val="0078005C"/>
    <w:rsid w:val="00890C70"/>
    <w:rsid w:val="00972B84"/>
    <w:rsid w:val="009E603F"/>
    <w:rsid w:val="00A57399"/>
    <w:rsid w:val="00A979A3"/>
    <w:rsid w:val="00B94C45"/>
    <w:rsid w:val="00BA35BD"/>
    <w:rsid w:val="00BD5BAE"/>
    <w:rsid w:val="00C1015D"/>
    <w:rsid w:val="00C20372"/>
    <w:rsid w:val="00C753AB"/>
    <w:rsid w:val="00CB3FE8"/>
    <w:rsid w:val="00D51259"/>
    <w:rsid w:val="00DA0E07"/>
    <w:rsid w:val="00DD67E1"/>
    <w:rsid w:val="00E2310D"/>
    <w:rsid w:val="00F15F17"/>
    <w:rsid w:val="00F44824"/>
    <w:rsid w:val="00F868A2"/>
    <w:rsid w:val="00F92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67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C45"/>
    <w:pPr>
      <w:tabs>
        <w:tab w:val="center" w:pos="4680"/>
        <w:tab w:val="right" w:pos="9360"/>
      </w:tabs>
      <w:spacing w:line="240" w:lineRule="auto"/>
    </w:pPr>
  </w:style>
  <w:style w:type="character" w:customStyle="1" w:styleId="HeaderChar">
    <w:name w:val="Header Char"/>
    <w:basedOn w:val="DefaultParagraphFont"/>
    <w:link w:val="Header"/>
    <w:uiPriority w:val="99"/>
    <w:rsid w:val="00B94C45"/>
  </w:style>
  <w:style w:type="paragraph" w:styleId="Footer">
    <w:name w:val="footer"/>
    <w:basedOn w:val="Normal"/>
    <w:link w:val="FooterChar"/>
    <w:uiPriority w:val="99"/>
    <w:unhideWhenUsed/>
    <w:rsid w:val="00B94C45"/>
    <w:pPr>
      <w:tabs>
        <w:tab w:val="center" w:pos="4680"/>
        <w:tab w:val="right" w:pos="9360"/>
      </w:tabs>
      <w:spacing w:line="240" w:lineRule="auto"/>
    </w:pPr>
  </w:style>
  <w:style w:type="character" w:customStyle="1" w:styleId="FooterChar">
    <w:name w:val="Footer Char"/>
    <w:basedOn w:val="DefaultParagraphFont"/>
    <w:link w:val="Footer"/>
    <w:uiPriority w:val="99"/>
    <w:rsid w:val="00B94C45"/>
  </w:style>
  <w:style w:type="paragraph" w:styleId="NormalWeb">
    <w:name w:val="Normal (Web)"/>
    <w:basedOn w:val="Normal"/>
    <w:uiPriority w:val="99"/>
    <w:semiHidden/>
    <w:unhideWhenUsed/>
    <w:rsid w:val="00B94C45"/>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B94C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C45"/>
    <w:pPr>
      <w:tabs>
        <w:tab w:val="center" w:pos="4680"/>
        <w:tab w:val="right" w:pos="9360"/>
      </w:tabs>
      <w:spacing w:line="240" w:lineRule="auto"/>
    </w:pPr>
  </w:style>
  <w:style w:type="character" w:customStyle="1" w:styleId="HeaderChar">
    <w:name w:val="Header Char"/>
    <w:basedOn w:val="DefaultParagraphFont"/>
    <w:link w:val="Header"/>
    <w:uiPriority w:val="99"/>
    <w:rsid w:val="00B94C45"/>
  </w:style>
  <w:style w:type="paragraph" w:styleId="Footer">
    <w:name w:val="footer"/>
    <w:basedOn w:val="Normal"/>
    <w:link w:val="FooterChar"/>
    <w:uiPriority w:val="99"/>
    <w:unhideWhenUsed/>
    <w:rsid w:val="00B94C45"/>
    <w:pPr>
      <w:tabs>
        <w:tab w:val="center" w:pos="4680"/>
        <w:tab w:val="right" w:pos="9360"/>
      </w:tabs>
      <w:spacing w:line="240" w:lineRule="auto"/>
    </w:pPr>
  </w:style>
  <w:style w:type="character" w:customStyle="1" w:styleId="FooterChar">
    <w:name w:val="Footer Char"/>
    <w:basedOn w:val="DefaultParagraphFont"/>
    <w:link w:val="Footer"/>
    <w:uiPriority w:val="99"/>
    <w:rsid w:val="00B94C45"/>
  </w:style>
  <w:style w:type="paragraph" w:styleId="NormalWeb">
    <w:name w:val="Normal (Web)"/>
    <w:basedOn w:val="Normal"/>
    <w:uiPriority w:val="99"/>
    <w:semiHidden/>
    <w:unhideWhenUsed/>
    <w:rsid w:val="00B94C45"/>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B94C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1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6</Pages>
  <Words>1338</Words>
  <Characters>7632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JURGEN</cp:lastModifiedBy>
  <cp:revision>3</cp:revision>
  <dcterms:created xsi:type="dcterms:W3CDTF">2021-08-29T06:56:00Z</dcterms:created>
  <dcterms:modified xsi:type="dcterms:W3CDTF">2021-08-30T18:16:00Z</dcterms:modified>
</cp:coreProperties>
</file>